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66F1" w:rsidRPr="00E366F1" w:rsidRDefault="00E366F1" w:rsidP="00E366F1">
      <w:pPr>
        <w:tabs>
          <w:tab w:val="left" w:pos="426"/>
        </w:tabs>
        <w:jc w:val="center"/>
        <w:rPr>
          <w:b/>
          <w:color w:val="ED7D31" w:themeColor="accent2"/>
          <w:sz w:val="24"/>
          <w:szCs w:val="24"/>
          <w:u w:val="single"/>
        </w:rPr>
      </w:pPr>
      <w:r w:rsidRPr="00E366F1">
        <w:rPr>
          <w:b/>
          <w:color w:val="ED7D31" w:themeColor="accent2"/>
          <w:sz w:val="24"/>
          <w:szCs w:val="24"/>
          <w:u w:val="single"/>
        </w:rPr>
        <w:t xml:space="preserve">AAC </w:t>
      </w:r>
      <w:r w:rsidR="001B5CB6">
        <w:rPr>
          <w:b/>
          <w:color w:val="ED7D31" w:themeColor="accent2"/>
          <w:sz w:val="24"/>
          <w:szCs w:val="24"/>
          <w:u w:val="single"/>
        </w:rPr>
        <w:t xml:space="preserve">15 places </w:t>
      </w:r>
      <w:bookmarkStart w:id="0" w:name="_GoBack"/>
      <w:bookmarkEnd w:id="0"/>
      <w:r w:rsidRPr="00E366F1">
        <w:rPr>
          <w:b/>
          <w:color w:val="ED7D31" w:themeColor="accent2"/>
          <w:sz w:val="24"/>
          <w:szCs w:val="24"/>
          <w:u w:val="single"/>
        </w:rPr>
        <w:t xml:space="preserve">SAMSAH TSA 57 - </w:t>
      </w:r>
      <w:r w:rsidRPr="00E366F1">
        <w:rPr>
          <w:b/>
          <w:color w:val="ED7D31" w:themeColor="accent2"/>
          <w:sz w:val="24"/>
          <w:szCs w:val="24"/>
          <w:u w:val="single"/>
        </w:rPr>
        <w:t>Annexe 1 : Critères de sélection et modalités de notation</w:t>
      </w:r>
    </w:p>
    <w:tbl>
      <w:tblPr>
        <w:tblStyle w:val="Grilledutableau1"/>
        <w:tblW w:w="11204" w:type="dxa"/>
        <w:jc w:val="center"/>
        <w:tblLook w:val="04A0" w:firstRow="1" w:lastRow="0" w:firstColumn="1" w:lastColumn="0" w:noHBand="0" w:noVBand="1"/>
      </w:tblPr>
      <w:tblGrid>
        <w:gridCol w:w="2570"/>
        <w:gridCol w:w="7423"/>
        <w:gridCol w:w="605"/>
        <w:gridCol w:w="606"/>
      </w:tblGrid>
      <w:tr w:rsidR="00E366F1" w:rsidRPr="00E366F1" w:rsidTr="00E366F1">
        <w:trPr>
          <w:trHeight w:val="248"/>
          <w:jc w:val="center"/>
        </w:trPr>
        <w:tc>
          <w:tcPr>
            <w:tcW w:w="2570" w:type="dxa"/>
            <w:shd w:val="clear" w:color="auto" w:fill="D9D9D9" w:themeFill="background1" w:themeFillShade="D9"/>
          </w:tcPr>
          <w:p w:rsidR="00E366F1" w:rsidRPr="00E366F1" w:rsidRDefault="00E366F1" w:rsidP="00E366F1">
            <w:pPr>
              <w:jc w:val="center"/>
            </w:pPr>
            <w:r w:rsidRPr="00E366F1">
              <w:t>Thèmes</w:t>
            </w:r>
          </w:p>
        </w:tc>
        <w:tc>
          <w:tcPr>
            <w:tcW w:w="7423" w:type="dxa"/>
            <w:shd w:val="clear" w:color="auto" w:fill="D9D9D9" w:themeFill="background1" w:themeFillShade="D9"/>
          </w:tcPr>
          <w:p w:rsidR="00E366F1" w:rsidRPr="00E366F1" w:rsidRDefault="00E366F1" w:rsidP="00E366F1">
            <w:pPr>
              <w:jc w:val="center"/>
            </w:pPr>
            <w:r w:rsidRPr="00E366F1">
              <w:t>Critères</w:t>
            </w:r>
          </w:p>
        </w:tc>
        <w:tc>
          <w:tcPr>
            <w:tcW w:w="1211" w:type="dxa"/>
            <w:gridSpan w:val="2"/>
            <w:shd w:val="clear" w:color="auto" w:fill="D9D9D9" w:themeFill="background1" w:themeFillShade="D9"/>
          </w:tcPr>
          <w:p w:rsidR="00E366F1" w:rsidRPr="00E366F1" w:rsidRDefault="00E366F1" w:rsidP="00E366F1">
            <w:pPr>
              <w:jc w:val="both"/>
            </w:pPr>
            <w:r w:rsidRPr="00E366F1">
              <w:t xml:space="preserve">Cotation </w:t>
            </w:r>
          </w:p>
        </w:tc>
      </w:tr>
      <w:tr w:rsidR="00E366F1" w:rsidRPr="00E366F1" w:rsidTr="00E366F1">
        <w:trPr>
          <w:trHeight w:val="256"/>
          <w:jc w:val="center"/>
        </w:trPr>
        <w:tc>
          <w:tcPr>
            <w:tcW w:w="2570" w:type="dxa"/>
            <w:vMerge w:val="restart"/>
            <w:shd w:val="clear" w:color="auto" w:fill="BDD6EE" w:themeFill="accent1" w:themeFillTint="66"/>
            <w:vAlign w:val="center"/>
          </w:tcPr>
          <w:p w:rsidR="00E366F1" w:rsidRPr="00E366F1" w:rsidRDefault="00E366F1" w:rsidP="00E366F1">
            <w:r w:rsidRPr="00E366F1">
              <w:t>Stratégie, gouvernance et pilotage du projet</w:t>
            </w:r>
          </w:p>
        </w:tc>
        <w:tc>
          <w:tcPr>
            <w:tcW w:w="7423" w:type="dxa"/>
          </w:tcPr>
          <w:p w:rsidR="00E366F1" w:rsidRPr="00E366F1" w:rsidRDefault="00E366F1" w:rsidP="00E366F1">
            <w:pPr>
              <w:jc w:val="both"/>
            </w:pPr>
            <w:r w:rsidRPr="00E366F1">
              <w:t xml:space="preserve">Expérience du promoteur, connaissance du territoire </w:t>
            </w:r>
          </w:p>
        </w:tc>
        <w:tc>
          <w:tcPr>
            <w:tcW w:w="605" w:type="dxa"/>
          </w:tcPr>
          <w:p w:rsidR="00E366F1" w:rsidRPr="00E366F1" w:rsidRDefault="00E366F1" w:rsidP="00E366F1">
            <w:r w:rsidRPr="00E366F1">
              <w:t>10</w:t>
            </w:r>
          </w:p>
        </w:tc>
        <w:tc>
          <w:tcPr>
            <w:tcW w:w="605" w:type="dxa"/>
            <w:vMerge w:val="restart"/>
            <w:vAlign w:val="center"/>
          </w:tcPr>
          <w:p w:rsidR="00E366F1" w:rsidRPr="00E366F1" w:rsidRDefault="00E366F1" w:rsidP="00E366F1">
            <w:pPr>
              <w:jc w:val="center"/>
            </w:pPr>
            <w:r w:rsidRPr="00E366F1">
              <w:t>70</w:t>
            </w:r>
          </w:p>
        </w:tc>
      </w:tr>
      <w:tr w:rsidR="00E366F1" w:rsidRPr="00E366F1" w:rsidTr="00E366F1">
        <w:trPr>
          <w:trHeight w:val="247"/>
          <w:jc w:val="center"/>
        </w:trPr>
        <w:tc>
          <w:tcPr>
            <w:tcW w:w="2570" w:type="dxa"/>
            <w:vMerge/>
            <w:shd w:val="clear" w:color="auto" w:fill="BDD6EE" w:themeFill="accent1" w:themeFillTint="66"/>
            <w:vAlign w:val="center"/>
          </w:tcPr>
          <w:p w:rsidR="00E366F1" w:rsidRPr="00E366F1" w:rsidRDefault="00E366F1" w:rsidP="00E366F1"/>
        </w:tc>
        <w:tc>
          <w:tcPr>
            <w:tcW w:w="7423" w:type="dxa"/>
          </w:tcPr>
          <w:p w:rsidR="00E366F1" w:rsidRPr="00E366F1" w:rsidRDefault="00E366F1" w:rsidP="00E366F1">
            <w:pPr>
              <w:jc w:val="both"/>
            </w:pPr>
            <w:r w:rsidRPr="00E366F1">
              <w:t>Expérience du promoteur et connaissance du public</w:t>
            </w:r>
          </w:p>
        </w:tc>
        <w:tc>
          <w:tcPr>
            <w:tcW w:w="605" w:type="dxa"/>
          </w:tcPr>
          <w:p w:rsidR="00E366F1" w:rsidRPr="00E366F1" w:rsidRDefault="00E366F1" w:rsidP="00E366F1">
            <w:r w:rsidRPr="00E366F1">
              <w:t>20</w:t>
            </w:r>
          </w:p>
        </w:tc>
        <w:tc>
          <w:tcPr>
            <w:tcW w:w="605" w:type="dxa"/>
            <w:vMerge/>
            <w:vAlign w:val="center"/>
          </w:tcPr>
          <w:p w:rsidR="00E366F1" w:rsidRPr="00E366F1" w:rsidRDefault="00E366F1" w:rsidP="00E366F1">
            <w:pPr>
              <w:jc w:val="center"/>
            </w:pPr>
          </w:p>
        </w:tc>
      </w:tr>
      <w:tr w:rsidR="00E366F1" w:rsidRPr="00E366F1" w:rsidTr="00E366F1">
        <w:trPr>
          <w:trHeight w:val="498"/>
          <w:jc w:val="center"/>
        </w:trPr>
        <w:tc>
          <w:tcPr>
            <w:tcW w:w="2570" w:type="dxa"/>
            <w:vMerge/>
            <w:shd w:val="clear" w:color="auto" w:fill="BDD6EE" w:themeFill="accent1" w:themeFillTint="66"/>
          </w:tcPr>
          <w:p w:rsidR="00E366F1" w:rsidRPr="00E366F1" w:rsidRDefault="00E366F1" w:rsidP="00E366F1">
            <w:pPr>
              <w:jc w:val="both"/>
            </w:pPr>
          </w:p>
        </w:tc>
        <w:tc>
          <w:tcPr>
            <w:tcW w:w="7423" w:type="dxa"/>
          </w:tcPr>
          <w:p w:rsidR="00E366F1" w:rsidRPr="00E366F1" w:rsidRDefault="00E366F1" w:rsidP="00E366F1">
            <w:pPr>
              <w:jc w:val="both"/>
            </w:pPr>
            <w:r w:rsidRPr="00E366F1">
              <w:t>Co-construction du projet avec les acteurs médico-sociaux, sanitaires, sociaux et du milieu ordinaire du territoire garantissant une réponse inclusive, adaptée aux besoins du public et évitant les ruptures de parcours.</w:t>
            </w:r>
          </w:p>
        </w:tc>
        <w:tc>
          <w:tcPr>
            <w:tcW w:w="605" w:type="dxa"/>
          </w:tcPr>
          <w:p w:rsidR="00E366F1" w:rsidRPr="00E366F1" w:rsidRDefault="00E366F1" w:rsidP="00E366F1">
            <w:pPr>
              <w:jc w:val="both"/>
            </w:pPr>
          </w:p>
          <w:p w:rsidR="00E366F1" w:rsidRPr="00E366F1" w:rsidRDefault="00E366F1" w:rsidP="00E366F1">
            <w:pPr>
              <w:jc w:val="both"/>
            </w:pPr>
            <w:r w:rsidRPr="00E366F1">
              <w:t>25</w:t>
            </w:r>
          </w:p>
        </w:tc>
        <w:tc>
          <w:tcPr>
            <w:tcW w:w="605" w:type="dxa"/>
            <w:vMerge/>
          </w:tcPr>
          <w:p w:rsidR="00E366F1" w:rsidRPr="00E366F1" w:rsidRDefault="00E366F1" w:rsidP="00E366F1">
            <w:pPr>
              <w:jc w:val="both"/>
            </w:pPr>
          </w:p>
        </w:tc>
      </w:tr>
      <w:tr w:rsidR="00E366F1" w:rsidRPr="00E366F1" w:rsidTr="00E366F1">
        <w:trPr>
          <w:trHeight w:val="498"/>
          <w:jc w:val="center"/>
        </w:trPr>
        <w:tc>
          <w:tcPr>
            <w:tcW w:w="2570" w:type="dxa"/>
            <w:vMerge/>
            <w:shd w:val="clear" w:color="auto" w:fill="BDD6EE" w:themeFill="accent1" w:themeFillTint="66"/>
          </w:tcPr>
          <w:p w:rsidR="00E366F1" w:rsidRPr="00E366F1" w:rsidRDefault="00E366F1" w:rsidP="00E366F1">
            <w:pPr>
              <w:jc w:val="both"/>
            </w:pPr>
          </w:p>
        </w:tc>
        <w:tc>
          <w:tcPr>
            <w:tcW w:w="7423" w:type="dxa"/>
          </w:tcPr>
          <w:p w:rsidR="00E366F1" w:rsidRPr="00E366F1" w:rsidRDefault="00E366F1" w:rsidP="00E366F1">
            <w:pPr>
              <w:jc w:val="both"/>
            </w:pPr>
            <w:r w:rsidRPr="00E366F1">
              <w:t>Optimisation de la couverture départementale en complémentarité avec l’offre existante : articulation avec le service déjà existant et enjeu de couverture territoriale, nature et modalités des partenariats garantissant la continuité des parcours et la variété des interventions.</w:t>
            </w:r>
          </w:p>
        </w:tc>
        <w:tc>
          <w:tcPr>
            <w:tcW w:w="605" w:type="dxa"/>
          </w:tcPr>
          <w:p w:rsidR="00E366F1" w:rsidRPr="00E366F1" w:rsidRDefault="00E366F1" w:rsidP="00E366F1">
            <w:pPr>
              <w:jc w:val="both"/>
            </w:pPr>
          </w:p>
          <w:p w:rsidR="00E366F1" w:rsidRPr="00E366F1" w:rsidRDefault="00E366F1" w:rsidP="00E366F1">
            <w:pPr>
              <w:jc w:val="both"/>
            </w:pPr>
            <w:r w:rsidRPr="00E366F1">
              <w:t>15</w:t>
            </w:r>
          </w:p>
        </w:tc>
        <w:tc>
          <w:tcPr>
            <w:tcW w:w="605" w:type="dxa"/>
            <w:vMerge/>
          </w:tcPr>
          <w:p w:rsidR="00E366F1" w:rsidRPr="00E366F1" w:rsidRDefault="00E366F1" w:rsidP="00E366F1">
            <w:pPr>
              <w:jc w:val="both"/>
            </w:pPr>
          </w:p>
        </w:tc>
      </w:tr>
      <w:tr w:rsidR="00E366F1" w:rsidRPr="00E366F1" w:rsidTr="00E366F1">
        <w:trPr>
          <w:trHeight w:val="189"/>
          <w:jc w:val="center"/>
        </w:trPr>
        <w:tc>
          <w:tcPr>
            <w:tcW w:w="2570" w:type="dxa"/>
            <w:vMerge w:val="restart"/>
            <w:shd w:val="clear" w:color="auto" w:fill="BDD6EE" w:themeFill="accent1" w:themeFillTint="66"/>
            <w:vAlign w:val="center"/>
          </w:tcPr>
          <w:p w:rsidR="00E366F1" w:rsidRPr="00E366F1" w:rsidRDefault="00E366F1" w:rsidP="00E366F1">
            <w:pPr>
              <w:jc w:val="both"/>
            </w:pPr>
            <w:r w:rsidRPr="00E366F1">
              <w:t>Accompagnement des personnes en situation de handicap</w:t>
            </w:r>
          </w:p>
        </w:tc>
        <w:tc>
          <w:tcPr>
            <w:tcW w:w="7423" w:type="dxa"/>
          </w:tcPr>
          <w:p w:rsidR="00E366F1" w:rsidRPr="00E366F1" w:rsidRDefault="00E366F1" w:rsidP="00E366F1">
            <w:pPr>
              <w:jc w:val="both"/>
            </w:pPr>
            <w:r w:rsidRPr="00E366F1">
              <w:t>Respect des recommandations nationales de bonnes pratiques de la HAS dans le projet de service.</w:t>
            </w:r>
          </w:p>
        </w:tc>
        <w:tc>
          <w:tcPr>
            <w:tcW w:w="605" w:type="dxa"/>
          </w:tcPr>
          <w:p w:rsidR="00E366F1" w:rsidRPr="00E366F1" w:rsidRDefault="00E366F1" w:rsidP="00E366F1">
            <w:pPr>
              <w:jc w:val="both"/>
            </w:pPr>
            <w:r w:rsidRPr="00E366F1">
              <w:t>10</w:t>
            </w:r>
          </w:p>
        </w:tc>
        <w:tc>
          <w:tcPr>
            <w:tcW w:w="605" w:type="dxa"/>
            <w:vMerge w:val="restart"/>
            <w:vAlign w:val="center"/>
          </w:tcPr>
          <w:p w:rsidR="00E366F1" w:rsidRPr="00E366F1" w:rsidRDefault="00E366F1" w:rsidP="00E366F1">
            <w:pPr>
              <w:jc w:val="center"/>
            </w:pPr>
            <w:r w:rsidRPr="00E366F1">
              <w:t>80</w:t>
            </w:r>
          </w:p>
        </w:tc>
      </w:tr>
      <w:tr w:rsidR="00E366F1" w:rsidRPr="00E366F1" w:rsidTr="00E366F1">
        <w:trPr>
          <w:trHeight w:val="186"/>
          <w:jc w:val="center"/>
        </w:trPr>
        <w:tc>
          <w:tcPr>
            <w:tcW w:w="2570" w:type="dxa"/>
            <w:vMerge/>
            <w:shd w:val="clear" w:color="auto" w:fill="BDD6EE" w:themeFill="accent1" w:themeFillTint="66"/>
          </w:tcPr>
          <w:p w:rsidR="00E366F1" w:rsidRPr="00E366F1" w:rsidRDefault="00E366F1" w:rsidP="00E366F1">
            <w:pPr>
              <w:jc w:val="both"/>
            </w:pPr>
          </w:p>
        </w:tc>
        <w:tc>
          <w:tcPr>
            <w:tcW w:w="7423" w:type="dxa"/>
          </w:tcPr>
          <w:p w:rsidR="00E366F1" w:rsidRPr="00E366F1" w:rsidRDefault="00E366F1" w:rsidP="00E366F1">
            <w:pPr>
              <w:jc w:val="both"/>
            </w:pPr>
            <w:r w:rsidRPr="00E366F1">
              <w:t xml:space="preserve">Projets personnalisés d’accompagnement : évaluation adaptée aux personnes présentant avec TSA /, </w:t>
            </w:r>
            <w:proofErr w:type="spellStart"/>
            <w:r w:rsidRPr="00E366F1">
              <w:t>co</w:t>
            </w:r>
            <w:proofErr w:type="spellEnd"/>
            <w:r w:rsidRPr="00E366F1">
              <w:t>-construction avec personne et la famille, interventions mises en œuvre en lien avec les partenaires intervenant autour de la personne et de droit commun, soutien de la famille et de l’entourage dans l’accompagnement mis en place.</w:t>
            </w:r>
          </w:p>
        </w:tc>
        <w:tc>
          <w:tcPr>
            <w:tcW w:w="605" w:type="dxa"/>
          </w:tcPr>
          <w:p w:rsidR="00E366F1" w:rsidRPr="00E366F1" w:rsidRDefault="00E366F1" w:rsidP="00E366F1">
            <w:pPr>
              <w:jc w:val="both"/>
            </w:pPr>
            <w:r w:rsidRPr="00E366F1">
              <w:t>10</w:t>
            </w:r>
          </w:p>
        </w:tc>
        <w:tc>
          <w:tcPr>
            <w:tcW w:w="605" w:type="dxa"/>
            <w:vMerge/>
          </w:tcPr>
          <w:p w:rsidR="00E366F1" w:rsidRPr="00E366F1" w:rsidRDefault="00E366F1" w:rsidP="00E366F1">
            <w:pPr>
              <w:jc w:val="both"/>
            </w:pPr>
          </w:p>
        </w:tc>
      </w:tr>
      <w:tr w:rsidR="00E366F1" w:rsidRPr="00E366F1" w:rsidTr="00E366F1">
        <w:trPr>
          <w:trHeight w:val="186"/>
          <w:jc w:val="center"/>
        </w:trPr>
        <w:tc>
          <w:tcPr>
            <w:tcW w:w="2570" w:type="dxa"/>
            <w:vMerge/>
            <w:shd w:val="clear" w:color="auto" w:fill="BDD6EE" w:themeFill="accent1" w:themeFillTint="66"/>
          </w:tcPr>
          <w:p w:rsidR="00E366F1" w:rsidRPr="00E366F1" w:rsidRDefault="00E366F1" w:rsidP="00E366F1">
            <w:pPr>
              <w:jc w:val="both"/>
            </w:pPr>
          </w:p>
        </w:tc>
        <w:tc>
          <w:tcPr>
            <w:tcW w:w="7423" w:type="dxa"/>
          </w:tcPr>
          <w:p w:rsidR="00E366F1" w:rsidRPr="00E366F1" w:rsidRDefault="00E366F1" w:rsidP="00E366F1">
            <w:pPr>
              <w:jc w:val="both"/>
            </w:pPr>
            <w:r w:rsidRPr="00E366F1">
              <w:t xml:space="preserve">Modalités d’accompagnement traduisant une démarche inclusive notamment dans le domaine de la vie sociale et professionnelle, précision dans ce cadre des articulations à mettre en œuvre avec les acteurs concernés. </w:t>
            </w:r>
          </w:p>
        </w:tc>
        <w:tc>
          <w:tcPr>
            <w:tcW w:w="605" w:type="dxa"/>
          </w:tcPr>
          <w:p w:rsidR="00E366F1" w:rsidRPr="00E366F1" w:rsidRDefault="00E366F1" w:rsidP="00E366F1">
            <w:pPr>
              <w:jc w:val="both"/>
            </w:pPr>
            <w:r w:rsidRPr="00E366F1">
              <w:t>10</w:t>
            </w:r>
          </w:p>
        </w:tc>
        <w:tc>
          <w:tcPr>
            <w:tcW w:w="605" w:type="dxa"/>
            <w:vMerge/>
          </w:tcPr>
          <w:p w:rsidR="00E366F1" w:rsidRPr="00E366F1" w:rsidRDefault="00E366F1" w:rsidP="00E366F1">
            <w:pPr>
              <w:jc w:val="both"/>
            </w:pPr>
          </w:p>
        </w:tc>
      </w:tr>
      <w:tr w:rsidR="00E366F1" w:rsidRPr="00E366F1" w:rsidTr="00E366F1">
        <w:trPr>
          <w:trHeight w:val="186"/>
          <w:jc w:val="center"/>
        </w:trPr>
        <w:tc>
          <w:tcPr>
            <w:tcW w:w="2570" w:type="dxa"/>
            <w:vMerge/>
            <w:shd w:val="clear" w:color="auto" w:fill="BDD6EE" w:themeFill="accent1" w:themeFillTint="66"/>
          </w:tcPr>
          <w:p w:rsidR="00E366F1" w:rsidRPr="00E366F1" w:rsidRDefault="00E366F1" w:rsidP="00E366F1">
            <w:pPr>
              <w:jc w:val="both"/>
            </w:pPr>
          </w:p>
        </w:tc>
        <w:tc>
          <w:tcPr>
            <w:tcW w:w="7423" w:type="dxa"/>
          </w:tcPr>
          <w:p w:rsidR="00E366F1" w:rsidRPr="00E366F1" w:rsidRDefault="00E366F1" w:rsidP="00E366F1">
            <w:pPr>
              <w:jc w:val="both"/>
            </w:pPr>
            <w:r w:rsidRPr="00E366F1">
              <w:t>Prise en compte dans le projet de service des modalités d’accompagnement des jeunes adultes,  notamment jeunes sous amendement CRETON et en situation complexe,  et des personnes en situation de handicap vieillissantes dans le cadre de la Réponse Accompagnée Pour Tous (RAPT).</w:t>
            </w:r>
          </w:p>
        </w:tc>
        <w:tc>
          <w:tcPr>
            <w:tcW w:w="605" w:type="dxa"/>
          </w:tcPr>
          <w:p w:rsidR="00E366F1" w:rsidRPr="00E366F1" w:rsidRDefault="00E366F1" w:rsidP="00E366F1">
            <w:pPr>
              <w:jc w:val="both"/>
            </w:pPr>
            <w:r w:rsidRPr="00E366F1">
              <w:t>10</w:t>
            </w:r>
          </w:p>
        </w:tc>
        <w:tc>
          <w:tcPr>
            <w:tcW w:w="605" w:type="dxa"/>
            <w:vMerge/>
          </w:tcPr>
          <w:p w:rsidR="00E366F1" w:rsidRPr="00E366F1" w:rsidRDefault="00E366F1" w:rsidP="00E366F1">
            <w:pPr>
              <w:jc w:val="both"/>
            </w:pPr>
          </w:p>
        </w:tc>
      </w:tr>
      <w:tr w:rsidR="00E366F1" w:rsidRPr="00E366F1" w:rsidTr="00E366F1">
        <w:trPr>
          <w:trHeight w:val="186"/>
          <w:jc w:val="center"/>
        </w:trPr>
        <w:tc>
          <w:tcPr>
            <w:tcW w:w="2570" w:type="dxa"/>
            <w:vMerge/>
            <w:shd w:val="clear" w:color="auto" w:fill="BDD6EE" w:themeFill="accent1" w:themeFillTint="66"/>
          </w:tcPr>
          <w:p w:rsidR="00E366F1" w:rsidRPr="00E366F1" w:rsidRDefault="00E366F1" w:rsidP="00E366F1">
            <w:pPr>
              <w:jc w:val="both"/>
            </w:pPr>
          </w:p>
        </w:tc>
        <w:tc>
          <w:tcPr>
            <w:tcW w:w="7423" w:type="dxa"/>
          </w:tcPr>
          <w:p w:rsidR="00E366F1" w:rsidRPr="00E366F1" w:rsidRDefault="00E366F1" w:rsidP="00E366F1">
            <w:pPr>
              <w:jc w:val="both"/>
            </w:pPr>
            <w:r w:rsidRPr="00E366F1">
              <w:t xml:space="preserve">Modalités de coordination et de dispensation des soins garantissant la mise en œuvre du projet de soins. </w:t>
            </w:r>
          </w:p>
          <w:p w:rsidR="00E366F1" w:rsidRPr="00E366F1" w:rsidRDefault="00E366F1" w:rsidP="00E366F1">
            <w:pPr>
              <w:jc w:val="both"/>
            </w:pPr>
            <w:r w:rsidRPr="00E366F1">
              <w:t>Prise en compte dans le projet de service de la politique de prévention et de promotion de la santé dans le projet.</w:t>
            </w:r>
          </w:p>
        </w:tc>
        <w:tc>
          <w:tcPr>
            <w:tcW w:w="605" w:type="dxa"/>
          </w:tcPr>
          <w:p w:rsidR="00E366F1" w:rsidRPr="00E366F1" w:rsidRDefault="00E366F1" w:rsidP="00E366F1">
            <w:pPr>
              <w:jc w:val="both"/>
            </w:pPr>
            <w:r w:rsidRPr="00E366F1">
              <w:t>10</w:t>
            </w:r>
          </w:p>
        </w:tc>
        <w:tc>
          <w:tcPr>
            <w:tcW w:w="605" w:type="dxa"/>
            <w:vMerge/>
          </w:tcPr>
          <w:p w:rsidR="00E366F1" w:rsidRPr="00E366F1" w:rsidRDefault="00E366F1" w:rsidP="00E366F1">
            <w:pPr>
              <w:jc w:val="both"/>
            </w:pPr>
          </w:p>
        </w:tc>
      </w:tr>
      <w:tr w:rsidR="00E366F1" w:rsidRPr="00E366F1" w:rsidTr="00E366F1">
        <w:trPr>
          <w:trHeight w:val="186"/>
          <w:jc w:val="center"/>
        </w:trPr>
        <w:tc>
          <w:tcPr>
            <w:tcW w:w="2570" w:type="dxa"/>
            <w:vMerge/>
            <w:shd w:val="clear" w:color="auto" w:fill="BDD6EE" w:themeFill="accent1" w:themeFillTint="66"/>
          </w:tcPr>
          <w:p w:rsidR="00E366F1" w:rsidRPr="00E366F1" w:rsidRDefault="00E366F1" w:rsidP="00E366F1">
            <w:pPr>
              <w:jc w:val="both"/>
            </w:pPr>
          </w:p>
        </w:tc>
        <w:tc>
          <w:tcPr>
            <w:tcW w:w="7423" w:type="dxa"/>
          </w:tcPr>
          <w:p w:rsidR="00E366F1" w:rsidRPr="00E366F1" w:rsidRDefault="00E366F1" w:rsidP="00E366F1">
            <w:pPr>
              <w:jc w:val="both"/>
            </w:pPr>
            <w:r w:rsidRPr="00E366F1">
              <w:t xml:space="preserve">Modalités de mise en œuvre de la « fonction ressource » : description des prestations prévues dans le cadre des deux volets décrits par le cahier des charges. </w:t>
            </w:r>
          </w:p>
        </w:tc>
        <w:tc>
          <w:tcPr>
            <w:tcW w:w="605" w:type="dxa"/>
          </w:tcPr>
          <w:p w:rsidR="00E366F1" w:rsidRPr="00E366F1" w:rsidRDefault="00E366F1" w:rsidP="00E366F1">
            <w:pPr>
              <w:jc w:val="both"/>
            </w:pPr>
            <w:r w:rsidRPr="00E366F1">
              <w:t>10</w:t>
            </w:r>
          </w:p>
        </w:tc>
        <w:tc>
          <w:tcPr>
            <w:tcW w:w="605" w:type="dxa"/>
            <w:vMerge/>
          </w:tcPr>
          <w:p w:rsidR="00E366F1" w:rsidRPr="00E366F1" w:rsidRDefault="00E366F1" w:rsidP="00E366F1">
            <w:pPr>
              <w:jc w:val="both"/>
            </w:pPr>
          </w:p>
        </w:tc>
      </w:tr>
      <w:tr w:rsidR="00E366F1" w:rsidRPr="00E366F1" w:rsidTr="00E366F1">
        <w:trPr>
          <w:trHeight w:val="186"/>
          <w:jc w:val="center"/>
        </w:trPr>
        <w:tc>
          <w:tcPr>
            <w:tcW w:w="2570" w:type="dxa"/>
            <w:vMerge/>
            <w:shd w:val="clear" w:color="auto" w:fill="BDD6EE" w:themeFill="accent1" w:themeFillTint="66"/>
          </w:tcPr>
          <w:p w:rsidR="00E366F1" w:rsidRPr="00E366F1" w:rsidRDefault="00E366F1" w:rsidP="00E366F1">
            <w:pPr>
              <w:jc w:val="both"/>
            </w:pPr>
          </w:p>
        </w:tc>
        <w:tc>
          <w:tcPr>
            <w:tcW w:w="7423" w:type="dxa"/>
          </w:tcPr>
          <w:p w:rsidR="00E366F1" w:rsidRPr="00E366F1" w:rsidRDefault="00E366F1" w:rsidP="00E366F1">
            <w:pPr>
              <w:jc w:val="both"/>
            </w:pPr>
            <w:r w:rsidRPr="00E366F1">
              <w:t>Fonctionnement : ouverture et organisation en dehors des horaires d’ouverture, modalités d’admission, de sortie et d’évaluation.</w:t>
            </w:r>
          </w:p>
        </w:tc>
        <w:tc>
          <w:tcPr>
            <w:tcW w:w="605" w:type="dxa"/>
          </w:tcPr>
          <w:p w:rsidR="00E366F1" w:rsidRPr="00E366F1" w:rsidRDefault="00E366F1" w:rsidP="00E366F1">
            <w:pPr>
              <w:jc w:val="both"/>
            </w:pPr>
            <w:r w:rsidRPr="00E366F1">
              <w:t>10</w:t>
            </w:r>
          </w:p>
        </w:tc>
        <w:tc>
          <w:tcPr>
            <w:tcW w:w="605" w:type="dxa"/>
            <w:vMerge/>
          </w:tcPr>
          <w:p w:rsidR="00E366F1" w:rsidRPr="00E366F1" w:rsidRDefault="00E366F1" w:rsidP="00E366F1">
            <w:pPr>
              <w:jc w:val="both"/>
            </w:pPr>
          </w:p>
        </w:tc>
      </w:tr>
      <w:tr w:rsidR="00E366F1" w:rsidRPr="00E366F1" w:rsidTr="00E366F1">
        <w:trPr>
          <w:trHeight w:val="186"/>
          <w:jc w:val="center"/>
        </w:trPr>
        <w:tc>
          <w:tcPr>
            <w:tcW w:w="2570" w:type="dxa"/>
            <w:vMerge/>
            <w:shd w:val="clear" w:color="auto" w:fill="BDD6EE" w:themeFill="accent1" w:themeFillTint="66"/>
          </w:tcPr>
          <w:p w:rsidR="00E366F1" w:rsidRPr="00E366F1" w:rsidRDefault="00E366F1" w:rsidP="00E366F1">
            <w:pPr>
              <w:jc w:val="both"/>
            </w:pPr>
          </w:p>
        </w:tc>
        <w:tc>
          <w:tcPr>
            <w:tcW w:w="7423" w:type="dxa"/>
          </w:tcPr>
          <w:p w:rsidR="00E366F1" w:rsidRPr="00E366F1" w:rsidRDefault="00E366F1" w:rsidP="00E366F1">
            <w:pPr>
              <w:jc w:val="both"/>
            </w:pPr>
            <w:r w:rsidRPr="00E366F1">
              <w:t>Note architecturale : localisation géographique, accessibilité pertinence des principes d’organisation et d’aménagement des différents espaces devant permettre une extension effective de l’offre sur tout le territoire mosellan.</w:t>
            </w:r>
          </w:p>
        </w:tc>
        <w:tc>
          <w:tcPr>
            <w:tcW w:w="605" w:type="dxa"/>
          </w:tcPr>
          <w:p w:rsidR="00E366F1" w:rsidRPr="00E366F1" w:rsidRDefault="00E366F1" w:rsidP="00E366F1">
            <w:pPr>
              <w:jc w:val="both"/>
            </w:pPr>
            <w:r w:rsidRPr="00E366F1">
              <w:t>10</w:t>
            </w:r>
          </w:p>
        </w:tc>
        <w:tc>
          <w:tcPr>
            <w:tcW w:w="605" w:type="dxa"/>
            <w:vMerge/>
          </w:tcPr>
          <w:p w:rsidR="00E366F1" w:rsidRPr="00E366F1" w:rsidRDefault="00E366F1" w:rsidP="00E366F1">
            <w:pPr>
              <w:jc w:val="both"/>
            </w:pPr>
          </w:p>
        </w:tc>
      </w:tr>
      <w:tr w:rsidR="00E366F1" w:rsidRPr="00E366F1" w:rsidTr="00E366F1">
        <w:trPr>
          <w:trHeight w:val="98"/>
          <w:jc w:val="center"/>
        </w:trPr>
        <w:tc>
          <w:tcPr>
            <w:tcW w:w="2570" w:type="dxa"/>
            <w:vMerge w:val="restart"/>
            <w:shd w:val="clear" w:color="auto" w:fill="BDD6EE" w:themeFill="accent1" w:themeFillTint="66"/>
            <w:vAlign w:val="center"/>
          </w:tcPr>
          <w:p w:rsidR="00E366F1" w:rsidRPr="00E366F1" w:rsidRDefault="00E366F1" w:rsidP="00E366F1">
            <w:pPr>
              <w:jc w:val="both"/>
            </w:pPr>
            <w:r w:rsidRPr="00E366F1">
              <w:t xml:space="preserve">Capacité à mettre en œuvre le projet </w:t>
            </w:r>
          </w:p>
        </w:tc>
        <w:tc>
          <w:tcPr>
            <w:tcW w:w="7423" w:type="dxa"/>
          </w:tcPr>
          <w:p w:rsidR="00E366F1" w:rsidRPr="00E366F1" w:rsidRDefault="00E366F1" w:rsidP="00E366F1">
            <w:pPr>
              <w:jc w:val="both"/>
            </w:pPr>
            <w:r w:rsidRPr="00E366F1">
              <w:t>Ressources humaines : composition et organisation de l’équipe, adéquation des compétences avec le projet global, plan pluriannuel de formation, supervision.</w:t>
            </w:r>
          </w:p>
        </w:tc>
        <w:tc>
          <w:tcPr>
            <w:tcW w:w="605" w:type="dxa"/>
          </w:tcPr>
          <w:p w:rsidR="00E366F1" w:rsidRPr="00E366F1" w:rsidRDefault="00E366F1" w:rsidP="00E366F1">
            <w:pPr>
              <w:jc w:val="both"/>
            </w:pPr>
            <w:r w:rsidRPr="00E366F1">
              <w:t>10</w:t>
            </w:r>
          </w:p>
        </w:tc>
        <w:tc>
          <w:tcPr>
            <w:tcW w:w="605" w:type="dxa"/>
            <w:vMerge w:val="restart"/>
            <w:vAlign w:val="center"/>
          </w:tcPr>
          <w:p w:rsidR="00E366F1" w:rsidRPr="00E366F1" w:rsidRDefault="00E366F1" w:rsidP="00E366F1">
            <w:pPr>
              <w:jc w:val="both"/>
            </w:pPr>
            <w:r w:rsidRPr="00E366F1">
              <w:t>50</w:t>
            </w:r>
          </w:p>
        </w:tc>
      </w:tr>
      <w:tr w:rsidR="00E366F1" w:rsidRPr="00E366F1" w:rsidTr="00E366F1">
        <w:trPr>
          <w:trHeight w:val="98"/>
          <w:jc w:val="center"/>
        </w:trPr>
        <w:tc>
          <w:tcPr>
            <w:tcW w:w="2570" w:type="dxa"/>
            <w:vMerge/>
            <w:shd w:val="clear" w:color="auto" w:fill="BDD6EE" w:themeFill="accent1" w:themeFillTint="66"/>
          </w:tcPr>
          <w:p w:rsidR="00E366F1" w:rsidRPr="00E366F1" w:rsidRDefault="00E366F1" w:rsidP="00E366F1">
            <w:pPr>
              <w:jc w:val="both"/>
            </w:pPr>
          </w:p>
        </w:tc>
        <w:tc>
          <w:tcPr>
            <w:tcW w:w="7423" w:type="dxa"/>
          </w:tcPr>
          <w:p w:rsidR="00E366F1" w:rsidRPr="00E366F1" w:rsidRDefault="00E366F1" w:rsidP="00E366F1">
            <w:pPr>
              <w:jc w:val="both"/>
            </w:pPr>
            <w:r w:rsidRPr="00E366F1">
              <w:t>Respect du cadrage financier.</w:t>
            </w:r>
          </w:p>
        </w:tc>
        <w:tc>
          <w:tcPr>
            <w:tcW w:w="605" w:type="dxa"/>
          </w:tcPr>
          <w:p w:rsidR="00E366F1" w:rsidRPr="00E366F1" w:rsidRDefault="00E366F1" w:rsidP="00E366F1">
            <w:pPr>
              <w:jc w:val="both"/>
            </w:pPr>
            <w:r w:rsidRPr="00E366F1">
              <w:t>10</w:t>
            </w:r>
          </w:p>
        </w:tc>
        <w:tc>
          <w:tcPr>
            <w:tcW w:w="605" w:type="dxa"/>
            <w:vMerge/>
          </w:tcPr>
          <w:p w:rsidR="00E366F1" w:rsidRPr="00E366F1" w:rsidRDefault="00E366F1" w:rsidP="00E366F1">
            <w:pPr>
              <w:jc w:val="both"/>
            </w:pPr>
          </w:p>
        </w:tc>
      </w:tr>
      <w:tr w:rsidR="00E366F1" w:rsidRPr="00E366F1" w:rsidTr="00E366F1">
        <w:trPr>
          <w:trHeight w:val="98"/>
          <w:jc w:val="center"/>
        </w:trPr>
        <w:tc>
          <w:tcPr>
            <w:tcW w:w="2570" w:type="dxa"/>
            <w:vMerge/>
            <w:shd w:val="clear" w:color="auto" w:fill="BDD6EE" w:themeFill="accent1" w:themeFillTint="66"/>
          </w:tcPr>
          <w:p w:rsidR="00E366F1" w:rsidRPr="00E366F1" w:rsidRDefault="00E366F1" w:rsidP="00E366F1">
            <w:pPr>
              <w:jc w:val="both"/>
            </w:pPr>
          </w:p>
        </w:tc>
        <w:tc>
          <w:tcPr>
            <w:tcW w:w="7423" w:type="dxa"/>
          </w:tcPr>
          <w:p w:rsidR="00E366F1" w:rsidRPr="00E366F1" w:rsidRDefault="00E366F1" w:rsidP="00E366F1">
            <w:pPr>
              <w:jc w:val="both"/>
            </w:pPr>
            <w:r w:rsidRPr="00E366F1">
              <w:t>Pertinence du budget, et explication des modalités de calcul des différents comptes.</w:t>
            </w:r>
          </w:p>
        </w:tc>
        <w:tc>
          <w:tcPr>
            <w:tcW w:w="605" w:type="dxa"/>
          </w:tcPr>
          <w:p w:rsidR="00E366F1" w:rsidRPr="00E366F1" w:rsidRDefault="00E366F1" w:rsidP="00E366F1">
            <w:pPr>
              <w:jc w:val="both"/>
            </w:pPr>
            <w:r w:rsidRPr="00E366F1">
              <w:t>10</w:t>
            </w:r>
          </w:p>
        </w:tc>
        <w:tc>
          <w:tcPr>
            <w:tcW w:w="605" w:type="dxa"/>
            <w:vMerge/>
          </w:tcPr>
          <w:p w:rsidR="00E366F1" w:rsidRPr="00E366F1" w:rsidRDefault="00E366F1" w:rsidP="00E366F1">
            <w:pPr>
              <w:jc w:val="both"/>
            </w:pPr>
          </w:p>
        </w:tc>
      </w:tr>
      <w:tr w:rsidR="00E366F1" w:rsidRPr="00E366F1" w:rsidTr="00E366F1">
        <w:trPr>
          <w:trHeight w:val="98"/>
          <w:jc w:val="center"/>
        </w:trPr>
        <w:tc>
          <w:tcPr>
            <w:tcW w:w="2570" w:type="dxa"/>
            <w:vMerge/>
            <w:shd w:val="clear" w:color="auto" w:fill="BDD6EE" w:themeFill="accent1" w:themeFillTint="66"/>
          </w:tcPr>
          <w:p w:rsidR="00E366F1" w:rsidRPr="00E366F1" w:rsidRDefault="00E366F1" w:rsidP="00E366F1">
            <w:pPr>
              <w:jc w:val="both"/>
            </w:pPr>
          </w:p>
        </w:tc>
        <w:tc>
          <w:tcPr>
            <w:tcW w:w="7423" w:type="dxa"/>
          </w:tcPr>
          <w:p w:rsidR="00E366F1" w:rsidRPr="00E366F1" w:rsidRDefault="00E366F1" w:rsidP="00E366F1">
            <w:pPr>
              <w:jc w:val="both"/>
            </w:pPr>
            <w:r w:rsidRPr="00E366F1">
              <w:t>Capacité à optimiser les coûts, proposition et incidence des mutualisations envisagées.</w:t>
            </w:r>
          </w:p>
        </w:tc>
        <w:tc>
          <w:tcPr>
            <w:tcW w:w="605" w:type="dxa"/>
          </w:tcPr>
          <w:p w:rsidR="00E366F1" w:rsidRPr="00E366F1" w:rsidRDefault="00E366F1" w:rsidP="00E366F1">
            <w:pPr>
              <w:jc w:val="both"/>
            </w:pPr>
            <w:r w:rsidRPr="00E366F1">
              <w:t>10</w:t>
            </w:r>
          </w:p>
        </w:tc>
        <w:tc>
          <w:tcPr>
            <w:tcW w:w="605" w:type="dxa"/>
            <w:vMerge/>
          </w:tcPr>
          <w:p w:rsidR="00E366F1" w:rsidRPr="00E366F1" w:rsidRDefault="00E366F1" w:rsidP="00E366F1">
            <w:pPr>
              <w:jc w:val="both"/>
            </w:pPr>
          </w:p>
        </w:tc>
      </w:tr>
      <w:tr w:rsidR="00E366F1" w:rsidRPr="00E366F1" w:rsidTr="00E366F1">
        <w:trPr>
          <w:trHeight w:val="98"/>
          <w:jc w:val="center"/>
        </w:trPr>
        <w:tc>
          <w:tcPr>
            <w:tcW w:w="2570" w:type="dxa"/>
            <w:vMerge/>
            <w:shd w:val="clear" w:color="auto" w:fill="BDD6EE" w:themeFill="accent1" w:themeFillTint="66"/>
          </w:tcPr>
          <w:p w:rsidR="00E366F1" w:rsidRPr="00E366F1" w:rsidRDefault="00E366F1" w:rsidP="00E366F1">
            <w:pPr>
              <w:jc w:val="both"/>
            </w:pPr>
          </w:p>
        </w:tc>
        <w:tc>
          <w:tcPr>
            <w:tcW w:w="7423" w:type="dxa"/>
          </w:tcPr>
          <w:p w:rsidR="00E366F1" w:rsidRPr="00E366F1" w:rsidRDefault="00E366F1" w:rsidP="00E366F1">
            <w:pPr>
              <w:jc w:val="both"/>
            </w:pPr>
            <w:r w:rsidRPr="00E366F1">
              <w:t>Installation des places, respect des orientations données par le SRS en termes de file active et démarrage de la mission « ressources » aux dates fixées dans le cahier des charges.</w:t>
            </w:r>
          </w:p>
        </w:tc>
        <w:tc>
          <w:tcPr>
            <w:tcW w:w="605" w:type="dxa"/>
          </w:tcPr>
          <w:p w:rsidR="00E366F1" w:rsidRPr="00E366F1" w:rsidRDefault="00E366F1" w:rsidP="00E366F1">
            <w:pPr>
              <w:jc w:val="both"/>
            </w:pPr>
            <w:r w:rsidRPr="00E366F1">
              <w:t>10</w:t>
            </w:r>
          </w:p>
        </w:tc>
        <w:tc>
          <w:tcPr>
            <w:tcW w:w="605" w:type="dxa"/>
            <w:vMerge/>
          </w:tcPr>
          <w:p w:rsidR="00E366F1" w:rsidRPr="00E366F1" w:rsidRDefault="00E366F1" w:rsidP="00E366F1">
            <w:pPr>
              <w:jc w:val="both"/>
            </w:pPr>
          </w:p>
        </w:tc>
      </w:tr>
      <w:tr w:rsidR="00E366F1" w:rsidRPr="00E366F1" w:rsidTr="00E366F1">
        <w:trPr>
          <w:trHeight w:val="98"/>
          <w:jc w:val="center"/>
        </w:trPr>
        <w:tc>
          <w:tcPr>
            <w:tcW w:w="9993" w:type="dxa"/>
            <w:gridSpan w:val="2"/>
            <w:shd w:val="clear" w:color="auto" w:fill="D9D9D9" w:themeFill="background1" w:themeFillShade="D9"/>
          </w:tcPr>
          <w:p w:rsidR="00E366F1" w:rsidRPr="00E366F1" w:rsidRDefault="00E366F1" w:rsidP="00E366F1">
            <w:pPr>
              <w:jc w:val="center"/>
            </w:pPr>
            <w:r w:rsidRPr="00E366F1">
              <w:t>TOTAL</w:t>
            </w:r>
          </w:p>
        </w:tc>
        <w:tc>
          <w:tcPr>
            <w:tcW w:w="605" w:type="dxa"/>
            <w:shd w:val="clear" w:color="auto" w:fill="D9D9D9" w:themeFill="background1" w:themeFillShade="D9"/>
          </w:tcPr>
          <w:p w:rsidR="00E366F1" w:rsidRPr="00E366F1" w:rsidRDefault="00E366F1" w:rsidP="00E366F1">
            <w:pPr>
              <w:jc w:val="both"/>
            </w:pPr>
            <w:r w:rsidRPr="00E366F1">
              <w:t>200</w:t>
            </w:r>
          </w:p>
        </w:tc>
        <w:tc>
          <w:tcPr>
            <w:tcW w:w="605" w:type="dxa"/>
            <w:shd w:val="clear" w:color="auto" w:fill="D9D9D9" w:themeFill="background1" w:themeFillShade="D9"/>
          </w:tcPr>
          <w:p w:rsidR="00E366F1" w:rsidRPr="00E366F1" w:rsidRDefault="00E366F1" w:rsidP="00E366F1">
            <w:pPr>
              <w:jc w:val="both"/>
            </w:pPr>
            <w:r w:rsidRPr="00E366F1">
              <w:t>200</w:t>
            </w:r>
          </w:p>
        </w:tc>
      </w:tr>
    </w:tbl>
    <w:p w:rsidR="00E366F1" w:rsidRPr="00E366F1" w:rsidRDefault="00E366F1" w:rsidP="00E366F1"/>
    <w:sectPr w:rsidR="00E366F1" w:rsidRPr="00E366F1" w:rsidSect="00E366F1">
      <w:pgSz w:w="11906" w:h="16838"/>
      <w:pgMar w:top="1417" w:right="1417" w:bottom="1417" w:left="1417" w:header="17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57FD" w:rsidRDefault="008C57FD" w:rsidP="00C925E3">
      <w:pPr>
        <w:spacing w:after="0" w:line="240" w:lineRule="auto"/>
      </w:pPr>
      <w:r>
        <w:separator/>
      </w:r>
    </w:p>
  </w:endnote>
  <w:endnote w:type="continuationSeparator" w:id="0">
    <w:p w:rsidR="008C57FD" w:rsidRDefault="008C57FD" w:rsidP="00C925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57FD" w:rsidRDefault="008C57FD" w:rsidP="00C925E3">
      <w:pPr>
        <w:spacing w:after="0" w:line="240" w:lineRule="auto"/>
      </w:pPr>
      <w:r>
        <w:separator/>
      </w:r>
    </w:p>
  </w:footnote>
  <w:footnote w:type="continuationSeparator" w:id="0">
    <w:p w:rsidR="008C57FD" w:rsidRDefault="008C57FD" w:rsidP="00C925E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5E3"/>
    <w:rsid w:val="00086383"/>
    <w:rsid w:val="001B5CB6"/>
    <w:rsid w:val="008C57FD"/>
    <w:rsid w:val="009F0295"/>
    <w:rsid w:val="00C925E3"/>
    <w:rsid w:val="00E366F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A3931"/>
  <w15:chartTrackingRefBased/>
  <w15:docId w15:val="{7C8E5D6C-4C48-4DA8-952B-82BC8D537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25E3"/>
  </w:style>
  <w:style w:type="paragraph" w:styleId="Titre1">
    <w:name w:val="heading 1"/>
    <w:basedOn w:val="Normal"/>
    <w:next w:val="Normal"/>
    <w:link w:val="Titre1Car"/>
    <w:uiPriority w:val="9"/>
    <w:qFormat/>
    <w:rsid w:val="00E366F1"/>
    <w:pPr>
      <w:keepNext/>
      <w:keepLines/>
      <w:spacing w:before="480" w:after="0" w:line="276" w:lineRule="auto"/>
      <w:outlineLvl w:val="0"/>
    </w:pPr>
    <w:rPr>
      <w:rFonts w:eastAsiaTheme="majorEastAsia" w:cstheme="majorBidi"/>
      <w:b/>
      <w:bCs/>
      <w:color w:val="538135" w:themeColor="accent6" w:themeShade="BF"/>
      <w:sz w:val="28"/>
      <w:szCs w:val="2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C925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C925E3"/>
    <w:pPr>
      <w:tabs>
        <w:tab w:val="center" w:pos="4536"/>
        <w:tab w:val="right" w:pos="9072"/>
      </w:tabs>
      <w:spacing w:after="0" w:line="240" w:lineRule="auto"/>
    </w:pPr>
  </w:style>
  <w:style w:type="character" w:customStyle="1" w:styleId="En-tteCar">
    <w:name w:val="En-tête Car"/>
    <w:basedOn w:val="Policepardfaut"/>
    <w:link w:val="En-tte"/>
    <w:uiPriority w:val="99"/>
    <w:rsid w:val="00C925E3"/>
  </w:style>
  <w:style w:type="paragraph" w:styleId="Pieddepage">
    <w:name w:val="footer"/>
    <w:basedOn w:val="Normal"/>
    <w:link w:val="PieddepageCar"/>
    <w:uiPriority w:val="99"/>
    <w:unhideWhenUsed/>
    <w:rsid w:val="00C925E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925E3"/>
  </w:style>
  <w:style w:type="character" w:customStyle="1" w:styleId="Titre1Car">
    <w:name w:val="Titre 1 Car"/>
    <w:basedOn w:val="Policepardfaut"/>
    <w:link w:val="Titre1"/>
    <w:uiPriority w:val="9"/>
    <w:rsid w:val="00E366F1"/>
    <w:rPr>
      <w:rFonts w:eastAsiaTheme="majorEastAsia" w:cstheme="majorBidi"/>
      <w:b/>
      <w:bCs/>
      <w:color w:val="538135" w:themeColor="accent6" w:themeShade="BF"/>
      <w:sz w:val="28"/>
      <w:szCs w:val="28"/>
      <w:lang w:eastAsia="fr-FR"/>
    </w:rPr>
  </w:style>
  <w:style w:type="table" w:customStyle="1" w:styleId="Grilledutableau1">
    <w:name w:val="Grille du tableau1"/>
    <w:basedOn w:val="TableauNormal"/>
    <w:next w:val="Grilledutableau"/>
    <w:uiPriority w:val="39"/>
    <w:rsid w:val="00E366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488</Words>
  <Characters>2684</Characters>
  <Application>Microsoft Office Word</Application>
  <DocSecurity>0</DocSecurity>
  <Lines>22</Lines>
  <Paragraphs>6</Paragraphs>
  <ScaleCrop>false</ScaleCrop>
  <Company>Ministère des affaires sociales</Company>
  <LinksUpToDate>false</LinksUpToDate>
  <CharactersWithSpaces>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FOURMONT, Mathieu (ARS-GRANDEST)</dc:creator>
  <cp:keywords/>
  <dc:description/>
  <cp:lastModifiedBy>FOURMONT, Mathieu (ARS-GRANDEST)</cp:lastModifiedBy>
  <cp:revision>6</cp:revision>
  <dcterms:created xsi:type="dcterms:W3CDTF">2021-12-02T12:42:00Z</dcterms:created>
  <dcterms:modified xsi:type="dcterms:W3CDTF">2021-12-02T13:24:00Z</dcterms:modified>
</cp:coreProperties>
</file>